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0"/>
          <w:i w:val="1"/>
          <w:color w:val="005696"/>
          <w:sz w:val="22"/>
          <w:szCs w:val="22"/>
          <w:highlight w:val="white"/>
        </w:rPr>
      </w:pPr>
      <w:bookmarkStart w:colFirst="0" w:colLast="0" w:name="_heading=h.gjdgxs" w:id="0"/>
      <w:bookmarkEnd w:id="0"/>
      <w:r w:rsidDel="00000000" w:rsidR="00000000" w:rsidRPr="00000000">
        <w:rPr>
          <w:rFonts w:ascii="Arial" w:cs="Arial" w:eastAsia="Arial" w:hAnsi="Arial"/>
          <w:color w:val="2a55a0"/>
          <w:sz w:val="22"/>
          <w:szCs w:val="22"/>
        </w:rPr>
        <w:drawing>
          <wp:inline distB="114300" distT="114300" distL="114300" distR="114300">
            <wp:extent cx="688658" cy="56112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8658" cy="5611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Fonts w:ascii="Arial Narrow" w:cs="Arial Narrow" w:eastAsia="Arial Narrow" w:hAnsi="Arial Narrow"/>
          <w:sz w:val="22"/>
          <w:szCs w:val="22"/>
          <w:rtl w:val="0"/>
        </w:rPr>
        <w:tab/>
        <w:tab/>
        <w:tab/>
        <w:tab/>
        <w:tab/>
        <w:tab/>
        <w:tab/>
        <w:tab/>
      </w:r>
      <w:r w:rsidDel="00000000" w:rsidR="00000000" w:rsidRPr="00000000">
        <w:rPr>
          <w:rFonts w:ascii="Arial" w:cs="Arial" w:eastAsia="Arial" w:hAnsi="Arial"/>
          <w:sz w:val="22"/>
          <w:szCs w:val="22"/>
          <w:rtl w:val="0"/>
        </w:rPr>
        <w:t xml:space="preserve">January 2025</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Dear Families:</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Prince George’s County Public Schools (PGCPS) is pleased to inform you that your child will be taking the district’s Benchmark 2 Assessments. The purpose of these assessments is to measure what your child learned during the second quarter. The data gained from the Benchmark 2 Assessments supports teachers with identifying instructional strategies and resources to meet the needs of each student</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Benchmark 2 Assessments will take place beginning on January 21st and will go through February 7th. PGCPS will be using the Prince George’s County Assessment and Reporting Platform (PARP) to administer the Benchmark 2 Assessments No grades will be assigned based on these assessment results. The results of the Benchmark 2 Assessments will be used by teachers and schools to enhance instruction on skills your child is learning in the classroom.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assessments will cover the four major content areas of Mathematics, Reading/English/Language Arts (RELA), Science, and Social Studies. The Mathematics Benchmark 2 assessments will be administered to students in grades K-8, and select high school courses. The RELA  and mathematics Benchmark 2 Assessments will be administered to students in grades 3 through 10. The Science Benchmark 2 Assessments will be administered to students in grades 5, 8, and High School Biology. The Social Studies Benchmark 2 will be administered to students in grade 8 and in High School to students taking LSN Government courses.</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about the test schedule or Benchmark 2 Assessments, please contact your child’s school. </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widowControl w:val="0"/>
        <w:spacing w:line="282.35279999999995" w:lineRule="auto"/>
        <w:ind w:left="720" w:firstLine="0"/>
        <w:rPr>
          <w:rFonts w:ascii="Arial" w:cs="Arial" w:eastAsia="Arial" w:hAnsi="Arial"/>
          <w:sz w:val="22"/>
          <w:szCs w:val="22"/>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SoBlcoVKvAKLlvN6hy3S43yg==">CgMxLjAyCGguZ2pkZ3hzOAByITFvREY0aXlMcmRPYmo1X2QzOE5oSEtmSFcyOERRaUd0TA==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